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038" w:rsidRPr="004C5038" w:rsidRDefault="004C5038" w:rsidP="004C5038">
      <w:pPr>
        <w:shd w:val="clear" w:color="auto" w:fill="FCFCFC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bookmarkStart w:id="0" w:name="_Hlk490682222"/>
      <w:bookmarkStart w:id="1" w:name="_GoBack"/>
      <w:bookmarkEnd w:id="1"/>
      <w:r w:rsidRPr="004C5038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XXII Congreso de FLAPAG - III Congreso de AUPCV</w:t>
      </w:r>
    </w:p>
    <w:p w:rsidR="004C5038" w:rsidRPr="004C5038" w:rsidRDefault="004C5038" w:rsidP="004C5038">
      <w:pPr>
        <w:shd w:val="clear" w:color="auto" w:fill="FCFCFC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"Vínculos: En-red-2 y Desenredos"</w:t>
      </w:r>
    </w:p>
    <w:p w:rsidR="004C5038" w:rsidRPr="004C5038" w:rsidRDefault="004C5038" w:rsidP="004C5038">
      <w:pPr>
        <w:spacing w:after="0" w:line="240" w:lineRule="auto"/>
        <w:ind w:left="2124" w:firstLine="708"/>
        <w:jc w:val="both"/>
        <w:rPr>
          <w:rFonts w:ascii="Arial" w:eastAsia="Calibri" w:hAnsi="Arial" w:cs="Arial"/>
          <w:b/>
          <w:sz w:val="24"/>
          <w:szCs w:val="24"/>
          <w:lang w:eastAsia="pt-BR"/>
        </w:rPr>
      </w:pPr>
      <w:r w:rsidRPr="004C5038">
        <w:rPr>
          <w:rFonts w:ascii="Arial" w:eastAsia="Calibri" w:hAnsi="Arial" w:cs="Arial"/>
          <w:b/>
          <w:sz w:val="24"/>
          <w:szCs w:val="24"/>
          <w:lang w:eastAsia="pt-BR"/>
        </w:rPr>
        <w:t xml:space="preserve"> Montevideu - 2017</w:t>
      </w:r>
    </w:p>
    <w:p w:rsidR="004C5038" w:rsidRPr="004C5038" w:rsidRDefault="004C5038" w:rsidP="004C5038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pt-BR"/>
        </w:rPr>
      </w:pPr>
    </w:p>
    <w:p w:rsidR="004C5038" w:rsidRPr="004C5038" w:rsidRDefault="004C5038" w:rsidP="004C503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t-BR"/>
        </w:rPr>
      </w:pPr>
      <w:r w:rsidRPr="004C5038">
        <w:rPr>
          <w:rFonts w:ascii="Arial" w:eastAsia="Calibri" w:hAnsi="Arial" w:cs="Arial"/>
          <w:b/>
          <w:sz w:val="24"/>
          <w:szCs w:val="24"/>
          <w:lang w:eastAsia="pt-BR"/>
        </w:rPr>
        <w:t>Autora:</w:t>
      </w:r>
      <w:r w:rsidRPr="004C5038">
        <w:rPr>
          <w:rFonts w:ascii="Arial" w:eastAsia="Calibri" w:hAnsi="Arial" w:cs="Arial"/>
          <w:sz w:val="24"/>
          <w:szCs w:val="24"/>
          <w:lang w:eastAsia="pt-BR"/>
        </w:rPr>
        <w:t xml:space="preserve"> </w:t>
      </w:r>
      <w:r w:rsidR="0074741D" w:rsidRPr="0074741D">
        <w:rPr>
          <w:rFonts w:ascii="Arial" w:eastAsia="Calibri" w:hAnsi="Arial" w:cs="Arial"/>
          <w:i/>
          <w:sz w:val="24"/>
          <w:szCs w:val="24"/>
          <w:lang w:eastAsia="pt-BR"/>
        </w:rPr>
        <w:t>Rosa Junqueira Corrêa</w:t>
      </w:r>
      <w:r w:rsidRPr="004C5038">
        <w:rPr>
          <w:rFonts w:ascii="Arial" w:eastAsia="Calibri" w:hAnsi="Arial" w:cs="Arial"/>
          <w:sz w:val="24"/>
          <w:szCs w:val="24"/>
          <w:lang w:eastAsia="pt-BR"/>
        </w:rPr>
        <w:t xml:space="preserve"> </w:t>
      </w:r>
    </w:p>
    <w:p w:rsidR="004C5038" w:rsidRPr="004C5038" w:rsidRDefault="004C5038" w:rsidP="004C5038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  <w:lang w:eastAsia="pt-BR"/>
        </w:rPr>
      </w:pPr>
      <w:r w:rsidRPr="004C5038">
        <w:rPr>
          <w:rFonts w:ascii="Arial" w:eastAsia="Calibri" w:hAnsi="Arial" w:cs="Arial"/>
          <w:sz w:val="24"/>
          <w:szCs w:val="24"/>
          <w:lang w:eastAsia="pt-BR"/>
        </w:rPr>
        <w:t>Psicanalista, Especialização em Psicossomática Psicanalítica pelo Instituto Sedes Sapientiae, Membro do Departamento</w:t>
      </w:r>
      <w:r w:rsidRPr="004C5038">
        <w:rPr>
          <w:rFonts w:ascii="Arial" w:eastAsia="Calibri" w:hAnsi="Arial" w:cs="Arial"/>
          <w:bCs/>
          <w:sz w:val="24"/>
          <w:szCs w:val="24"/>
          <w:lang w:eastAsia="pt-BR"/>
        </w:rPr>
        <w:t xml:space="preserve"> de Psicossomática Psicanalítica do Instituto Sedes Sapientiae,</w:t>
      </w:r>
      <w:r w:rsidRPr="004C5038">
        <w:rPr>
          <w:rFonts w:ascii="Arial" w:eastAsia="Calibri" w:hAnsi="Arial" w:cs="Arial"/>
          <w:sz w:val="24"/>
          <w:szCs w:val="24"/>
          <w:lang w:eastAsia="pt-BR"/>
        </w:rPr>
        <w:t xml:space="preserve"> Membro do </w:t>
      </w:r>
      <w:r w:rsidRPr="004C5038">
        <w:rPr>
          <w:rFonts w:ascii="Arial" w:eastAsia="Calibri" w:hAnsi="Arial" w:cs="Arial"/>
          <w:bCs/>
          <w:sz w:val="24"/>
          <w:szCs w:val="24"/>
          <w:lang w:eastAsia="pt-BR"/>
        </w:rPr>
        <w:t>Projeto de Atendimento e Pesquisa em Psicossomática Psicanalítica do Instituto Sedes Sapientiae</w:t>
      </w:r>
      <w:r w:rsidR="0074741D">
        <w:rPr>
          <w:rFonts w:ascii="Arial" w:eastAsia="Calibri" w:hAnsi="Arial" w:cs="Arial"/>
          <w:bCs/>
          <w:sz w:val="24"/>
          <w:szCs w:val="24"/>
          <w:lang w:eastAsia="pt-BR"/>
        </w:rPr>
        <w:t>.</w:t>
      </w:r>
      <w:r w:rsidRPr="004C5038">
        <w:rPr>
          <w:rFonts w:ascii="Arial" w:eastAsia="Calibri" w:hAnsi="Arial" w:cs="Arial"/>
          <w:bCs/>
          <w:sz w:val="24"/>
          <w:szCs w:val="24"/>
          <w:lang w:eastAsia="pt-BR"/>
        </w:rPr>
        <w:t xml:space="preserve"> É autora do artigo “Entre o corpo e o prazer: uma expressão oral”.</w:t>
      </w:r>
    </w:p>
    <w:p w:rsidR="004C5038" w:rsidRPr="004C5038" w:rsidRDefault="004C5038" w:rsidP="004C5038">
      <w:pPr>
        <w:spacing w:after="0" w:line="276" w:lineRule="auto"/>
        <w:jc w:val="both"/>
        <w:rPr>
          <w:rFonts w:ascii="Times New Roman" w:eastAsia="Calibri" w:hAnsi="Times New Roman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Calibri" w:hAnsi="Arial" w:cs="Arial"/>
          <w:b/>
          <w:bCs/>
          <w:sz w:val="24"/>
          <w:szCs w:val="24"/>
          <w:lang w:eastAsia="pt-BR"/>
        </w:rPr>
        <w:t>E-mail</w:t>
      </w:r>
      <w:r w:rsidRPr="004C5038">
        <w:rPr>
          <w:rFonts w:ascii="Arial" w:eastAsia="Calibri" w:hAnsi="Arial" w:cs="Arial"/>
          <w:bCs/>
          <w:sz w:val="24"/>
          <w:szCs w:val="24"/>
          <w:lang w:eastAsia="pt-BR"/>
        </w:rPr>
        <w:t xml:space="preserve">: rosajcn7@hotmail.com </w:t>
      </w:r>
    </w:p>
    <w:p w:rsidR="004C5038" w:rsidRPr="004C5038" w:rsidRDefault="004C5038" w:rsidP="004C5038">
      <w:pPr>
        <w:keepNext/>
        <w:tabs>
          <w:tab w:val="left" w:pos="426"/>
          <w:tab w:val="right" w:pos="9299"/>
        </w:tabs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bookmarkStart w:id="2" w:name="_Hlk486864642"/>
    </w:p>
    <w:p w:rsidR="004C5038" w:rsidRPr="004C5038" w:rsidRDefault="004C5038" w:rsidP="004C5038">
      <w:pPr>
        <w:keepNext/>
        <w:tabs>
          <w:tab w:val="left" w:pos="426"/>
          <w:tab w:val="right" w:pos="9299"/>
        </w:tabs>
        <w:spacing w:before="240" w:after="24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 luta pelo reconhecimento: o manejo clínico da Psicossomática Psicanalítica</w:t>
      </w:r>
    </w:p>
    <w:bookmarkEnd w:id="2"/>
    <w:p w:rsidR="004C5038" w:rsidRPr="004C5038" w:rsidRDefault="004C5038" w:rsidP="004C503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t-BR"/>
        </w:rPr>
      </w:pPr>
      <w:r w:rsidRPr="004C5038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pt-BR"/>
        </w:rPr>
        <w:t>Resumo</w:t>
      </w:r>
    </w:p>
    <w:p w:rsidR="004C5038" w:rsidRPr="004C5038" w:rsidRDefault="004C5038" w:rsidP="004C503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t-BR"/>
        </w:rPr>
        <w:t xml:space="preserve">O objetivo desta apresentação é propor uma reflexão a respeito do manejo clínico, no qual a analista se coloca mais presente, face a face, deixando-se perceber como presença viva pela paciente. Isto possibilitou a construção de um vínculo entre a dupla, mesmo diante de desorganizações da economia psicossomática. Para tanto, apresentarei um caso clinico que nos remeteu a núcleos regredidos, associados a uma angústia relacionada à questão do reconhecimento. Cientes que as defesas primitivas se manifestam na transferência, foi fundamental a capacidade da analista de sua autopercepção e de suas sensações contratransferenciais expressas no próprio corpo. Ela se utilizou dessas sensações, nomeando o que sentia em seu corpo a partir da expressão do silêncio que era manifestado pela paciente, como uma mãe que para-excita o sentir do bebe pelo seu sentir. Assim, delicadamente, recebeu e manteve em seu corpo as angústias de amor e ódio, a dor e o sofrimento expressos na transferência, colocou-se como um instrumento e auxilio no processo de estruturação subjetiva. Dessa forma,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pôde-se criar um espaço onde foi possível à paciente explicitar em palavras os pensamentos e sentimentos insuportáveis que, até então, expressava em seu corpo e ter, assim, a condição psíquica de, aos poucos, retomar a sua própria vida.</w:t>
      </w:r>
    </w:p>
    <w:p w:rsidR="004C5038" w:rsidRPr="004C5038" w:rsidRDefault="004C5038" w:rsidP="004C503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t-BR"/>
        </w:rPr>
        <w:t xml:space="preserve">Palavras chaves: Psicossomática – Vínculo – Transferência – Contratransferência – Manejo </w:t>
      </w:r>
    </w:p>
    <w:p w:rsidR="004C5038" w:rsidRPr="004C5038" w:rsidRDefault="004C5038" w:rsidP="00342E73">
      <w:pPr>
        <w:keepNext/>
        <w:tabs>
          <w:tab w:val="left" w:pos="426"/>
          <w:tab w:val="right" w:pos="9299"/>
        </w:tabs>
        <w:spacing w:after="0" w:line="360" w:lineRule="auto"/>
        <w:ind w:left="680"/>
        <w:jc w:val="both"/>
        <w:outlineLvl w:val="2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lastRenderedPageBreak/>
        <w:t xml:space="preserve">A luta pelo reconhecimento: o manejo clínico da Psicossomática </w:t>
      </w:r>
      <w:r w:rsidR="00342E73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        </w:t>
      </w:r>
      <w:r w:rsidRPr="004C5038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Psicanalítica</w:t>
      </w:r>
    </w:p>
    <w:p w:rsidR="004C5038" w:rsidRPr="004C5038" w:rsidRDefault="004C5038" w:rsidP="004C5038">
      <w:pPr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“…Aquilo com que ela se parece se acha relacionado com o que ela vê ali. ”</w:t>
      </w:r>
    </w:p>
    <w:p w:rsidR="004C5038" w:rsidRDefault="004C5038" w:rsidP="00342E73">
      <w:pPr>
        <w:spacing w:after="0" w:line="360" w:lineRule="auto"/>
        <w:ind w:left="70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val="fr-FR"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val="fr-FR" w:eastAsia="pt-BR"/>
        </w:rPr>
        <w:t>Winnicott, 1975</w:t>
      </w:r>
    </w:p>
    <w:p w:rsidR="00342E73" w:rsidRPr="004C5038" w:rsidRDefault="00342E73" w:rsidP="00342E73">
      <w:pPr>
        <w:spacing w:after="0" w:line="360" w:lineRule="auto"/>
        <w:ind w:left="70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val="fr-FR" w:eastAsia="pt-BR"/>
        </w:rPr>
      </w:pP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Os pacientes que são encaminhados ao Projeto de Atendimento e Pesquisa em Psicossomática Psicanalítica do Instituto Sedes Sapientiae, muitas vezes não entendem o que estão fazendo ali. Daya, com 66 anos, não fugia a esse perfil.</w:t>
      </w:r>
    </w:p>
    <w:p w:rsidR="0044562D" w:rsidRDefault="0044562D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Quando chega para a primeira sessão, me contou</w:t>
      </w:r>
      <w:r w:rsidR="004C5038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que sofria com a diverticulite, embora em 2012 fora retirado o sigmoide e o reto. Em 2011 e 2013 teve um AIT (Acidente Isquêmico Transitório), e desde 2011, vinha sofrendo com arritmia, taquicardia, gastrite, refluxo, enxaqueca, crises de pânico, depressão, infecção urinária recorrente</w:t>
      </w:r>
      <w:r w:rsidR="00A81BC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insônia e tomava vários remédios.</w:t>
      </w:r>
      <w:r w:rsidR="004C5038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Não tinha mais motivação para sair de casa, vivia trancada e sozinha.</w:t>
      </w:r>
      <w:r w:rsidR="00A81BC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Disse estar aflita por uma ação trabalhista, que estava movendo contra uma empresa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="00A81BC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qual havia sido só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</w:t>
      </w:r>
      <w:r w:rsidR="00A81BC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ia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partir da teorização da Psicossomática Psicanalítica, farei uma reflexão das vicissitudes da relação transferencial, </w:t>
      </w:r>
      <w:r w:rsidR="0044562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 vínculo e </w:t>
      </w:r>
      <w:r w:rsidR="0044562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manejo clínico desse caso.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Aos poucos Daya </w:t>
      </w:r>
      <w:r w:rsidR="0044562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me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revelava seu desamparo. Desorganizada em sua economia somática, </w:t>
      </w:r>
      <w:r w:rsidR="00B417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manifestava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sua necessidade de ser escutada, acolhida, entendida em sua dor. Então, na posição face a face, muitas vezes lhe reassegurava. Isso nos remete ao que Fernandes (2008) salien</w:t>
      </w:r>
      <w:r w:rsidR="00342E7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ta:</w:t>
      </w:r>
    </w:p>
    <w:p w:rsidR="004C5038" w:rsidRPr="004C5038" w:rsidRDefault="004C5038" w:rsidP="00BE2FF8">
      <w:pPr>
        <w:shd w:val="clear" w:color="auto" w:fill="FFFFFF"/>
        <w:spacing w:before="240" w:after="240" w:line="240" w:lineRule="auto"/>
        <w:ind w:left="1418" w:firstLine="28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“(...) é por meio da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delicadeza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escuta, de uma leitura em filigrana das palavras, na sutileza da busca dos detalhes, dos gestos, do olhar, do silêncio, que o analista vai reencontrar as marcas das imagens internas do paciente. Tudo se passa como se a palavra do analista devesse incentivar o paciente a desenvolver seu poder imaginativo de tal forma que o acontecimento que toca o corpo não fique privado de possibilidades metafóricas”. (Fernandes, 2008,</w:t>
      </w:r>
      <w:r w:rsidR="00FA332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p.99). 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Ela não percebia suas angústias, não conseguia colocá-las em palavras, assim, suas doenças falavam por ela. Muitas vezes eu mesma era mobilizada por sentimentos e sensações fortes e angustiantes de desamparo. Nesses momentos, vivia na contratransferência o que Daya parecia sentir. Dessa forma, eu pude chegar mais perto dela, acolhê-la e levá-la a perceber o que sentia, buscando nomear o que se passava na relação comigo. A esse respeito, Fernandes (2008</w:t>
      </w:r>
      <w:r w:rsidR="00FA332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p.107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 insiste:</w:t>
      </w:r>
      <w:r w:rsidR="00FA332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="0044562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“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é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 Outro-analista que, à semelhança da alteridade materna, pode investir o corpo do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paciente, acolhendo e nomeando as sensações desse corpo, transformando-o, assim em um “corpo-falado</w:t>
      </w:r>
      <w:r w:rsidR="0044562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”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aberto à abordagem psicanalítica”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Ao olharmos para alguns elementos de sua história</w:t>
      </w:r>
      <w:r w:rsidR="00B3532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ter sido entregue, aos 3 anos, para os avós a criarem</w:t>
      </w:r>
      <w:r w:rsidR="008F1B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não saber o seu lugar n</w:t>
      </w:r>
      <w:r w:rsidR="00B3532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os acontecimentos de sua vida</w:t>
      </w:r>
      <w:r w:rsidR="008F1B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– </w:t>
      </w:r>
      <w:r w:rsidR="00B3532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omo por exemplo, na separação dos pais, quando ela determina que eles se sepa</w:t>
      </w:r>
      <w:r w:rsidR="00B3532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ra</w:t>
      </w:r>
      <w:r w:rsidR="0044562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ss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em; não ser reconhecida e se sentir desvalorizada na relação com o ex-chefe que a assediou, o ex-marido que não queria que ela trabalhasse e o ex-sócio que a desconsiderou como sócia</w:t>
      </w:r>
      <w:r w:rsidR="008F1B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–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podemos supor o provável desamparo que viveu, ao não ser vista, olhada e reconhecida primeiro como filha, a seguir como mulher e parceira. Isso pode nos remeter a Winnicott (1975) quando ele menciona:</w:t>
      </w:r>
    </w:p>
    <w:p w:rsidR="004C5038" w:rsidRDefault="004C5038" w:rsidP="00342E73">
      <w:pPr>
        <w:shd w:val="clear" w:color="auto" w:fill="FFFFFF"/>
        <w:spacing w:before="240" w:after="240" w:line="240" w:lineRule="auto"/>
        <w:ind w:left="1418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“O que vê o bebê quando olha para o rosto da mãe? Sugiro que normalmente o que o bebê vê é ele mesmo. Peço que isso, naturalmente bem realizado por mães que estão cuidando de seus bebês, não seja considerado tão evidente assim. ... posso demonstrar minha proposição referindo o caso de um bebê cuja mãe reflete o próprio humor dela ou, pior ainda, a rigidez de suas próprias defesas. ... muitos bebês, contudo, tem uma longa experiência de não receber de volta o que estão dando. Eles olham e não veem a si mesmos” (</w:t>
      </w:r>
      <w:r w:rsidR="00FA332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Winnicotti,1975,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p.154). </w:t>
      </w:r>
    </w:p>
    <w:p w:rsidR="00342E73" w:rsidRPr="004C5038" w:rsidRDefault="00342E73" w:rsidP="00342E73">
      <w:pPr>
        <w:shd w:val="clear" w:color="auto" w:fill="FFFFFF"/>
        <w:spacing w:after="0" w:line="240" w:lineRule="auto"/>
        <w:ind w:left="1418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Dessa forma, o bebê não se sente reconhecido no olhar da mãe, assim como supomos que Daya não se sentia reconhecida como filha e ter aqui a explicação ao recorrente fato dela não se sentir reconhecida ao longo dos anos.</w:t>
      </w:r>
    </w:p>
    <w:p w:rsidR="00BE2FF8" w:rsidRPr="008F1B09" w:rsidRDefault="00B569C5" w:rsidP="00BE2FF8">
      <w:pPr>
        <w:shd w:val="clear" w:color="auto" w:fill="FFFFFF"/>
        <w:spacing w:before="240" w:after="240" w:line="240" w:lineRule="auto"/>
        <w:ind w:firstLine="680"/>
        <w:jc w:val="both"/>
        <w:outlineLvl w:val="2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8F1B09">
        <w:rPr>
          <w:rFonts w:ascii="Arial" w:eastAsia="Times New Roman" w:hAnsi="Arial" w:cs="Arial"/>
          <w:color w:val="000000" w:themeColor="text1"/>
          <w:sz w:val="24"/>
          <w:szCs w:val="24"/>
        </w:rPr>
        <w:t>A respeito do reconhecimento, podemos recorrer a Honneth (2009</w:t>
      </w:r>
      <w:r w:rsidR="00BE2FF8" w:rsidRPr="008F1B0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) </w:t>
      </w:r>
      <w:r w:rsidRPr="008F1B09">
        <w:rPr>
          <w:rFonts w:ascii="Arial" w:eastAsia="Times New Roman" w:hAnsi="Arial" w:cs="Arial"/>
          <w:color w:val="000000" w:themeColor="text1"/>
          <w:sz w:val="24"/>
          <w:szCs w:val="24"/>
        </w:rPr>
        <w:t>sugere que</w:t>
      </w:r>
      <w:r w:rsidR="00BE2FF8" w:rsidRPr="008F1B09">
        <w:rPr>
          <w:rFonts w:ascii="Arial" w:eastAsia="Times New Roman" w:hAnsi="Arial" w:cs="Arial"/>
          <w:color w:val="000000" w:themeColor="text1"/>
          <w:sz w:val="24"/>
          <w:szCs w:val="24"/>
        </w:rPr>
        <w:t>:</w:t>
      </w:r>
      <w:r w:rsidRPr="008F1B0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:rsidR="00BD70AF" w:rsidRDefault="00B569C5" w:rsidP="00BE2FF8">
      <w:pPr>
        <w:shd w:val="clear" w:color="auto" w:fill="FFFFFF"/>
        <w:spacing w:before="240" w:after="240" w:line="240" w:lineRule="auto"/>
        <w:ind w:left="1418"/>
        <w:jc w:val="both"/>
        <w:outlineLvl w:val="2"/>
        <w:rPr>
          <w:rFonts w:ascii="Arial" w:eastAsia="Times New Roman" w:hAnsi="Arial" w:cs="Arial"/>
          <w:color w:val="000000" w:themeColor="text1"/>
        </w:rPr>
      </w:pPr>
      <w:r w:rsidRPr="009D7923">
        <w:rPr>
          <w:rFonts w:ascii="Arial" w:eastAsia="Times New Roman" w:hAnsi="Arial" w:cs="Arial"/>
          <w:color w:val="000000" w:themeColor="text1"/>
        </w:rPr>
        <w:t>“</w:t>
      </w:r>
      <w:r w:rsidR="008F1B09">
        <w:rPr>
          <w:rFonts w:ascii="Arial" w:eastAsia="Times New Roman" w:hAnsi="Arial" w:cs="Arial"/>
          <w:color w:val="000000" w:themeColor="text1"/>
        </w:rPr>
        <w:t>Se</w:t>
      </w:r>
      <w:r w:rsidR="00BE2FF8">
        <w:rPr>
          <w:rFonts w:ascii="Arial" w:eastAsia="Times New Roman" w:hAnsi="Arial" w:cs="Arial"/>
          <w:color w:val="000000" w:themeColor="text1"/>
        </w:rPr>
        <w:t xml:space="preserve"> </w:t>
      </w:r>
      <w:r w:rsidR="00BE2FF8" w:rsidRPr="009D7923">
        <w:rPr>
          <w:rFonts w:ascii="Arial" w:eastAsia="Times New Roman" w:hAnsi="Arial" w:cs="Arial"/>
          <w:color w:val="000000" w:themeColor="text1"/>
        </w:rPr>
        <w:t xml:space="preserve">pode tirar </w:t>
      </w:r>
      <w:r w:rsidRPr="009D7923">
        <w:rPr>
          <w:rFonts w:ascii="Arial" w:eastAsia="Times New Roman" w:hAnsi="Arial" w:cs="Arial"/>
          <w:color w:val="000000" w:themeColor="text1"/>
        </w:rPr>
        <w:t>das análises de Winnicott acerca do processo de amadurecimento na primeira infância ilações a respeito da estrutura comunicativa que faz do amor uma relação particular de reconhecimento recíproco. Continuando nessa direção, ele salienta que: “É possível então partir da hipótese de que todas as relações amorosas são impelidas pela reminiscência inconsciente da vivência de fusão originária que marcara mãe e filho nos primeiros meses de vida”. No entanto, insiste o autor, “esse desejo de fusão só se tornará o sentimento de amor se ele for desiludido a tal ponto pela experiência inevitável de separação, que daí em diante se inclui nele, de modo constitutivo, o reconhecimento do outro como uma pessoa independente”</w:t>
      </w:r>
      <w:r w:rsidR="00BE2FF8" w:rsidRPr="00BE2FF8">
        <w:rPr>
          <w:rFonts w:ascii="Arial" w:eastAsia="Times New Roman" w:hAnsi="Arial" w:cs="Arial"/>
          <w:color w:val="000000" w:themeColor="text1"/>
        </w:rPr>
        <w:t xml:space="preserve"> </w:t>
      </w:r>
      <w:r w:rsidR="00BE2FF8">
        <w:rPr>
          <w:rFonts w:ascii="Arial" w:eastAsia="Times New Roman" w:hAnsi="Arial" w:cs="Arial"/>
          <w:color w:val="000000" w:themeColor="text1"/>
        </w:rPr>
        <w:t>(</w:t>
      </w:r>
      <w:r w:rsidR="00BE2FF8" w:rsidRPr="009D7923">
        <w:rPr>
          <w:rFonts w:ascii="Arial" w:eastAsia="Times New Roman" w:hAnsi="Arial" w:cs="Arial"/>
          <w:color w:val="000000" w:themeColor="text1"/>
        </w:rPr>
        <w:t>Honneth</w:t>
      </w:r>
      <w:r w:rsidR="00BE2FF8">
        <w:rPr>
          <w:rFonts w:ascii="Arial" w:eastAsia="Times New Roman" w:hAnsi="Arial" w:cs="Arial"/>
          <w:color w:val="000000" w:themeColor="text1"/>
        </w:rPr>
        <w:t>,</w:t>
      </w:r>
      <w:r w:rsidR="00BE2FF8" w:rsidRPr="009D7923">
        <w:rPr>
          <w:rFonts w:ascii="Arial" w:eastAsia="Times New Roman" w:hAnsi="Arial" w:cs="Arial"/>
          <w:color w:val="000000" w:themeColor="text1"/>
        </w:rPr>
        <w:t xml:space="preserve"> 2009</w:t>
      </w:r>
      <w:r w:rsidR="00BE2FF8">
        <w:rPr>
          <w:rFonts w:ascii="Arial" w:eastAsia="Times New Roman" w:hAnsi="Arial" w:cs="Arial"/>
          <w:color w:val="000000" w:themeColor="text1"/>
        </w:rPr>
        <w:t>, pp.174-175</w:t>
      </w:r>
      <w:r w:rsidR="00BE2FF8" w:rsidRPr="009D7923">
        <w:rPr>
          <w:rFonts w:ascii="Arial" w:eastAsia="Times New Roman" w:hAnsi="Arial" w:cs="Arial"/>
          <w:color w:val="000000" w:themeColor="text1"/>
        </w:rPr>
        <w:t xml:space="preserve">) </w:t>
      </w:r>
      <w:r w:rsidRPr="009D7923">
        <w:rPr>
          <w:rFonts w:ascii="Arial" w:eastAsia="Times New Roman" w:hAnsi="Arial" w:cs="Arial"/>
          <w:color w:val="000000" w:themeColor="text1"/>
        </w:rPr>
        <w:t xml:space="preserve"> </w:t>
      </w:r>
    </w:p>
    <w:p w:rsidR="004C5038" w:rsidRPr="004C5038" w:rsidRDefault="004C5038" w:rsidP="00BD70AF">
      <w:pPr>
        <w:shd w:val="clear" w:color="auto" w:fill="FFFFFF"/>
        <w:spacing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Movida pelo que sentia, Daya, conversando com a avó, tomou atitude aos 10 anos de idade, foi atrás da mãe para não ser esquecida e ser reconhecida como filha. E essa busca de qual é o seu lugar e sair do desamparo que sente, permanece em toda sua história: ao separar os pais, ela fica no lugar da mãe; saiu do emprego por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 xml:space="preserve">sentir-se usada pelo chefe e não ser reconhecida na sua função; encontra o homem de sua vida, novamente toma atitude e o pede em casamento; depois rompe violentamente o seu casamento, por se decepcionar; resolve fazer o aborto </w:t>
      </w:r>
      <w:r w:rsidR="008F1B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do filho do marido,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por </w:t>
      </w:r>
      <w:r w:rsidR="008F1B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esse não reconhecer ser o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pai </w:t>
      </w:r>
      <w:r w:rsidR="008F1B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seu filho e outras situações mais. Parece que por se ver de frente com o desamparo, ela se mostra ativa o tempo todo, parece não poder habitar a posição passiva.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Com a entrada dos filhos do sócio, aos poucos é deslocada do seu lugar até ser mandada embora. Aqui se sente totalmente impotente, sem poder agir, regride e adoece</w:t>
      </w:r>
      <w:r w:rsidR="008F1B0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deixando seu corpo falar por ela, pois não sabe mais o que dizer</w:t>
      </w:r>
      <w:r w:rsidR="00A81BC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ou fazer.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Após algum tempo, Daya comentou sobre o ambiente de acolhimento que desfrutava no espaço analítico, referindo-se ao vínculo vivido comigo, que se sentia reconhecida, valorizada e percebida em suas capacidades. Isso nos remete a Winnicott (1994), quando enfatiza que: </w:t>
      </w:r>
    </w:p>
    <w:p w:rsidR="004C5038" w:rsidRPr="004C5038" w:rsidRDefault="004C5038" w:rsidP="00342E73">
      <w:pPr>
        <w:shd w:val="clear" w:color="auto" w:fill="FFFFFF"/>
        <w:spacing w:before="240" w:after="240" w:line="240" w:lineRule="auto"/>
        <w:ind w:left="138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“... a evolução natural da transferência que surge da confiança crescente do paciente na técnica e no setting psicanalítico</w:t>
      </w:r>
      <w:r w:rsidR="00BB0B4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... deve achar-se relacionado à capacidade que o paciente tem de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situar o analista fora da área dos fenômenos subjetivos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O que se acha envolvido é a capacidade do paciente usar o analista. ... quando falo do uso do objeto, contudo, estou tomando o relacionar-se com objetos como certo, e adiciono novos aspectos que envolvem a natureza e o comportamento do objeto. ... o objeto, se é que vai ser usado, tem de necessariamente ser real no sentido de fazer parte da realidade partilhada e não ser feixe de projeções. O desenvolvimento de uma capacidade de usar o objeto é outro exemplo do processo maturacional como algo que depende de um meio facilitador. ” (Winnicott, 1994, pp. 173-175)</w:t>
      </w:r>
    </w:p>
    <w:p w:rsidR="004C5038" w:rsidRPr="004C5038" w:rsidRDefault="00003F9D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bookmarkStart w:id="3" w:name="_Hlk486884401"/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Winnicott</w:t>
      </w:r>
      <w:r w:rsidR="00AF69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1994, 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p.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175)</w:t>
      </w:r>
      <w:bookmarkEnd w:id="3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="004C5038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ainda menciona que “Na prática psicanalítica, as mudanças que ocorrem nesta área podem ser profundas. Elas não dependem do trabalho interpretativo, mas sim da sobrevivência do analista aos </w:t>
      </w:r>
      <w:r w:rsidR="00BB787B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ataques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  <w:r w:rsidR="00BB787B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”</w:t>
      </w:r>
      <w:r w:rsidR="004C5038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Podemos pensar, talvez, relacionado ao que disse Winnicott, que foi a partir desse uso que Daya fez da minha presença real no setting, sobrevivendo aos seus ataques, principalmente no início da nossa relação quando me desqualificava, que a ajudou a resgatar-se e, aos poucos, deixar de expressar no corpo o seu desamparo.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Ao recontar sua história, Daya passou por momentos regressivos. Busquei acolhê-la, como uma mãe acolhe um bebê e suas sensações, exercendo uma função materna de para-excitação, devido a seus recursos internos estarem fragilizados. Como tão bem nos lembra Fernandes (2008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="00BB0B4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p.106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): “Não é por acaso que esse tipo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de paciente tem necessidade de constatar a presença viva do analista; é essa presença que lhe assegura que o analista não está “morto</w:t>
      </w:r>
      <w:r w:rsidR="00BE2FF8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”</w:t>
      </w:r>
      <w:r w:rsidR="00BE2FF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Daya, aos poucos, conseguiu fazer uso da linguagem. Começou a perceber seu modo de funcionamento e as repetições em sua história. Constatou que tomava à frente tentando exercer um controle sobre as situações, para não ser pega de surpresa, como fora aos 3 anos. Reconheceu que se ver sem controle da situação na sociedade a colocou novamente no lugar do desemparo e por isso adoece.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Daya</w:t>
      </w:r>
      <w:r w:rsidR="00D579D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com o passar do tempo,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vai reconquistando suas capacidades e buscou novas oportunidades de trabalho. Após algumas tentativas, recebe um convite que</w:t>
      </w:r>
      <w:r w:rsidR="00BB0B4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="007655EA"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possibilitaria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fazer uso de </w:t>
      </w:r>
      <w:r w:rsidR="007655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seu conhecimento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ter reconhecimento. Assim, abriu uma nova empresa, que hoje tudo aponta para ser um sucesso. Enquanto que sua antiga sociedade começou a declinar com sua saída. 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Certo dia, Daya revelou que antes não acreditava em tudo que pôde vivenciar comigo. Viu o seu resgate pessoal e profissional. Começamos, então, a ver juntas que ela tinha se recuperado do grande motivo que a trouxera ali. Nesse momento refere que já podia ceder seu espaço para outro paciente com baixa condição financeira.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 minha parte pude reconhecer, com o atendimento desse caso, o que menciona Joyce McDougall (1996) “Todos temos tendência a somatizar toda vez que as circunstâncias internas ou externas ultrapassam os nossos modos de resistência habituais”. (p.3) E ainda que “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[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]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os sintomas psicológicos dessa natureza constituem técnicas de sobrevivência psíquica”. (p.9) 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Daya, através de um espaço onde foi acolhida e reconhecida como pessoa, conseguiu se reorganizar psiquicamente e os sintomas somáticos começaram a desparecer. Na relação transferencial, pôde viver angústias desorganizadoras e fazer uso do ataque à analista quando necessitou, constatando que eu permanecia ali ao seu lado, sempre disponível e a sua espera. Podemos aqui pensar no que nos diz Fernandes (2008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p.96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 “é a própria escuta que é vivida como o benefício dos cuidados dispensados pelo analista. De fato, há um investimento do paciente pela escuta do analista, à medida que esta reflete a presença do analista ”.</w:t>
      </w:r>
    </w:p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Sendo assim, não poderia deixar de concluir sem me remeter as preciosas palavras de Volich (2000</w:t>
      </w:r>
      <w:r w:rsidR="00BB787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="00BB0B4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p.160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) quando salienta que “ a experiência clínica demonstra que o contato com a experiência individual de cada protagonista da relação terapêutica é o principal catalisador dos processos de cura”.  </w:t>
      </w:r>
      <w:r w:rsidR="0009551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 temos o privilégio de viver e testemunhar isso.</w:t>
      </w:r>
    </w:p>
    <w:bookmarkEnd w:id="0"/>
    <w:p w:rsidR="004C5038" w:rsidRPr="004C5038" w:rsidRDefault="004C5038" w:rsidP="004C5038">
      <w:pPr>
        <w:shd w:val="clear" w:color="auto" w:fill="FFFFFF"/>
        <w:spacing w:after="0" w:line="360" w:lineRule="auto"/>
        <w:ind w:firstLine="680"/>
        <w:jc w:val="center"/>
        <w:outlineLvl w:val="2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lastRenderedPageBreak/>
        <w:t xml:space="preserve">Referências </w:t>
      </w:r>
    </w:p>
    <w:p w:rsidR="004C5038" w:rsidRPr="00E11350" w:rsidRDefault="00F663C8" w:rsidP="00E11350">
      <w:pPr>
        <w:pStyle w:val="NormalWeb"/>
        <w:shd w:val="clear" w:color="auto" w:fill="FFFFFF"/>
        <w:spacing w:before="0" w:beforeAutospacing="0" w:after="240" w:afterAutospacing="0"/>
        <w:ind w:left="397" w:hanging="397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Fernandes</w:t>
      </w:r>
      <w:r w:rsidR="00AA768B" w:rsidRPr="00AA768B">
        <w:rPr>
          <w:rFonts w:ascii="Arial" w:hAnsi="Arial" w:cs="Arial"/>
        </w:rPr>
        <w:t>, M.H.</w:t>
      </w:r>
      <w:r w:rsidR="00154E78">
        <w:rPr>
          <w:rFonts w:ascii="Arial" w:hAnsi="Arial" w:cs="Arial"/>
        </w:rPr>
        <w:t xml:space="preserve"> (2008).</w:t>
      </w:r>
      <w:r w:rsidR="00AA768B" w:rsidRPr="00AA768B">
        <w:rPr>
          <w:rFonts w:ascii="Arial" w:hAnsi="Arial" w:cs="Arial"/>
        </w:rPr>
        <w:t xml:space="preserve"> Implicações Clínicas e Metodológicas. In </w:t>
      </w:r>
      <w:r w:rsidR="00AA768B" w:rsidRPr="00154E78">
        <w:rPr>
          <w:rFonts w:ascii="Arial" w:hAnsi="Arial" w:cs="Arial"/>
          <w:i/>
        </w:rPr>
        <w:t>Corpo</w:t>
      </w:r>
      <w:r w:rsidR="00154E78">
        <w:rPr>
          <w:rFonts w:ascii="Arial" w:hAnsi="Arial" w:cs="Arial"/>
          <w:i/>
        </w:rPr>
        <w:t>.</w:t>
      </w:r>
      <w:r w:rsidR="00D253A4">
        <w:rPr>
          <w:rFonts w:ascii="Arial" w:hAnsi="Arial" w:cs="Arial"/>
          <w:i/>
        </w:rPr>
        <w:t xml:space="preserve"> </w:t>
      </w:r>
      <w:r w:rsidR="00154E78">
        <w:rPr>
          <w:rFonts w:ascii="Arial" w:hAnsi="Arial" w:cs="Arial"/>
        </w:rPr>
        <w:t>(pp.</w:t>
      </w:r>
      <w:r w:rsidR="00AA768B" w:rsidRPr="00AA768B">
        <w:rPr>
          <w:rFonts w:ascii="Arial" w:hAnsi="Arial" w:cs="Arial"/>
        </w:rPr>
        <w:t xml:space="preserve"> </w:t>
      </w:r>
      <w:r w:rsidR="00154E78">
        <w:rPr>
          <w:rFonts w:ascii="Arial" w:hAnsi="Arial" w:cs="Arial"/>
        </w:rPr>
        <w:t>95-107</w:t>
      </w:r>
      <w:r w:rsidR="00DF0DA1">
        <w:rPr>
          <w:rFonts w:ascii="Arial" w:hAnsi="Arial" w:cs="Arial"/>
        </w:rPr>
        <w:t xml:space="preserve">). </w:t>
      </w:r>
      <w:r w:rsidR="00AA768B" w:rsidRPr="00AA768B">
        <w:rPr>
          <w:rFonts w:ascii="Arial" w:hAnsi="Arial" w:cs="Arial"/>
        </w:rPr>
        <w:t>Coleção Clínica Psicanalítica. Sã</w:t>
      </w:r>
      <w:r w:rsidR="00154E78">
        <w:rPr>
          <w:rFonts w:ascii="Arial" w:hAnsi="Arial" w:cs="Arial"/>
        </w:rPr>
        <w:t>o Paulo: Casa do Psicólogo</w:t>
      </w:r>
      <w:r w:rsidR="00AA768B" w:rsidRPr="00AA768B">
        <w:rPr>
          <w:rFonts w:ascii="Arial" w:hAnsi="Arial" w:cs="Arial"/>
        </w:rPr>
        <w:t>.</w:t>
      </w:r>
    </w:p>
    <w:p w:rsidR="004C5038" w:rsidRPr="004C5038" w:rsidRDefault="004C5038" w:rsidP="00154E78">
      <w:pPr>
        <w:shd w:val="clear" w:color="auto" w:fill="FFFFFF"/>
        <w:spacing w:after="240" w:line="240" w:lineRule="auto"/>
        <w:ind w:left="397" w:hanging="39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Honnet, A. (2009)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A Luta pelo reconhecimento: a gramatica da moral dos</w:t>
      </w:r>
      <w:r w:rsidR="00342E73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 xml:space="preserve">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conflitos sociais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(</w:t>
      </w:r>
      <w:r w:rsidR="00C95C9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pp. 174-175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).</w:t>
      </w:r>
      <w:r w:rsidRPr="004C5038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São Paulo: Editora 34. </w:t>
      </w:r>
    </w:p>
    <w:p w:rsidR="004C5038" w:rsidRPr="004C5038" w:rsidRDefault="004C5038" w:rsidP="00154E78">
      <w:pPr>
        <w:shd w:val="clear" w:color="auto" w:fill="FFFFFF"/>
        <w:spacing w:after="240" w:line="240" w:lineRule="auto"/>
        <w:ind w:left="397" w:hanging="39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Laplanche, J. &amp; Pontalis, J.B. (19</w:t>
      </w:r>
      <w:r w:rsidR="00E1135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88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).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Vocabulário de Psicanálise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). Lisboa: Moraes Editores.</w:t>
      </w:r>
    </w:p>
    <w:p w:rsidR="004C5038" w:rsidRPr="004C5038" w:rsidRDefault="004C5038" w:rsidP="00154E78">
      <w:pPr>
        <w:shd w:val="clear" w:color="auto" w:fill="FFFFFF"/>
        <w:spacing w:after="240" w:line="240" w:lineRule="auto"/>
        <w:ind w:left="397" w:hanging="39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Mcdougall, J. (1996). </w:t>
      </w:r>
      <w:r w:rsidR="00E1135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O Psicossoma e a Viagem Psicanalítica. In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Teatros do Corpo – O Psicossoma em Psicanálise</w:t>
      </w:r>
      <w:r w:rsidR="00E11350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 xml:space="preserve">. </w:t>
      </w:r>
      <w:r w:rsidR="00E1135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(pp. 03-09)</w:t>
      </w:r>
      <w:r w:rsidR="00E11350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 xml:space="preserve">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São Paulo: Martins Fontes.</w:t>
      </w:r>
    </w:p>
    <w:p w:rsidR="004C5038" w:rsidRPr="004C5038" w:rsidRDefault="004C5038" w:rsidP="00154E78">
      <w:pPr>
        <w:shd w:val="clear" w:color="auto" w:fill="FFFFFF"/>
        <w:spacing w:after="240" w:line="240" w:lineRule="auto"/>
        <w:ind w:left="397" w:hanging="39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Volich, R.M. (2000). </w:t>
      </w:r>
      <w:r w:rsidR="00E1135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Psicossomática psicanalítica. In </w:t>
      </w:r>
      <w:r w:rsidR="00E11350"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Psicossomática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: de Hipócrates à psicanálise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  <w:bookmarkStart w:id="4" w:name="_Hlk486869098"/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bookmarkEnd w:id="4"/>
      <w:r w:rsidR="00E1135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(p.160).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São Paulo: Casa do Psicólogo.</w:t>
      </w:r>
    </w:p>
    <w:p w:rsidR="006A5CBB" w:rsidRDefault="004C5038" w:rsidP="006A5CBB">
      <w:pPr>
        <w:shd w:val="clear" w:color="auto" w:fill="FFFFFF"/>
        <w:spacing w:after="240" w:line="240" w:lineRule="auto"/>
        <w:ind w:left="397" w:hanging="39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Winnicotti, D.W. (1975). O Papel de Espelho da Mãe e da Família no Desenvolvimento Infantil. In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O Brincar e a Realidade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</w:t>
      </w:r>
      <w:r w:rsidR="006A5C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(p. 154). 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Rio de Janeiro: Imago Editora.</w:t>
      </w:r>
    </w:p>
    <w:p w:rsidR="004C5038" w:rsidRDefault="004C5038" w:rsidP="006A5CBB">
      <w:pPr>
        <w:shd w:val="clear" w:color="auto" w:fill="FFFFFF"/>
        <w:spacing w:after="240" w:line="240" w:lineRule="auto"/>
        <w:ind w:left="397" w:hanging="397"/>
        <w:jc w:val="both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  <w:lang w:eastAsia="pt-BR"/>
        </w:rPr>
      </w:pP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Winnicotti, D.W. (1994). Sobre o Uso de um Objeto. In </w:t>
      </w:r>
      <w:r w:rsidRPr="004C5038">
        <w:rPr>
          <w:rFonts w:ascii="Arial" w:eastAsia="Times New Roman" w:hAnsi="Arial" w:cs="Arial"/>
          <w:i/>
          <w:color w:val="000000"/>
          <w:sz w:val="24"/>
          <w:szCs w:val="24"/>
          <w:lang w:eastAsia="pt-BR"/>
        </w:rPr>
        <w:t>Explorações Psicanalíticas</w:t>
      </w:r>
      <w:r w:rsidR="00C95C9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(pp. 170-175</w:t>
      </w:r>
      <w:r w:rsidRPr="004C50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). Porto Alegre: Artes Médicas.</w:t>
      </w:r>
      <w:r w:rsidRPr="004C5038"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  <w:lang w:eastAsia="pt-BR"/>
        </w:rPr>
        <w:t xml:space="preserve"> </w:t>
      </w:r>
    </w:p>
    <w:p w:rsidR="004833B8" w:rsidRDefault="004833B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  <w:lang w:eastAsia="pt-BR"/>
        </w:rPr>
      </w:pPr>
    </w:p>
    <w:p w:rsidR="004833B8" w:rsidRDefault="004833B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  <w:lang w:eastAsia="pt-BR"/>
        </w:rPr>
      </w:pPr>
    </w:p>
    <w:p w:rsidR="004833B8" w:rsidRDefault="004833B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  <w:lang w:eastAsia="pt-BR"/>
        </w:rPr>
      </w:pPr>
    </w:p>
    <w:p w:rsidR="004833B8" w:rsidRDefault="004833B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  <w:lang w:eastAsia="pt-BR"/>
        </w:rPr>
      </w:pPr>
    </w:p>
    <w:p w:rsidR="004833B8" w:rsidRDefault="004833B8" w:rsidP="004C5038">
      <w:pPr>
        <w:shd w:val="clear" w:color="auto" w:fill="FFFFFF"/>
        <w:spacing w:after="0" w:line="360" w:lineRule="auto"/>
        <w:ind w:firstLine="680"/>
        <w:jc w:val="both"/>
        <w:outlineLvl w:val="2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  <w:lang w:eastAsia="pt-BR"/>
        </w:rPr>
      </w:pPr>
    </w:p>
    <w:sectPr w:rsidR="004833B8" w:rsidSect="00154E78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991" w:rsidRDefault="004F4991" w:rsidP="00F3353B">
      <w:pPr>
        <w:spacing w:after="0" w:line="240" w:lineRule="auto"/>
      </w:pPr>
      <w:r>
        <w:separator/>
      </w:r>
    </w:p>
  </w:endnote>
  <w:endnote w:type="continuationSeparator" w:id="0">
    <w:p w:rsidR="004F4991" w:rsidRDefault="004F4991" w:rsidP="00F3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991" w:rsidRDefault="004F4991" w:rsidP="00F3353B">
      <w:pPr>
        <w:spacing w:after="0" w:line="240" w:lineRule="auto"/>
      </w:pPr>
      <w:r>
        <w:separator/>
      </w:r>
    </w:p>
  </w:footnote>
  <w:footnote w:type="continuationSeparator" w:id="0">
    <w:p w:rsidR="004F4991" w:rsidRDefault="004F4991" w:rsidP="00F33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9144975"/>
      <w:docPartObj>
        <w:docPartGallery w:val="Page Numbers (Top of Page)"/>
        <w:docPartUnique/>
      </w:docPartObj>
    </w:sdtPr>
    <w:sdtEndPr/>
    <w:sdtContent>
      <w:p w:rsidR="00F3353B" w:rsidRDefault="00F3353B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41A">
          <w:rPr>
            <w:noProof/>
          </w:rPr>
          <w:t>6</w:t>
        </w:r>
        <w:r>
          <w:fldChar w:fldCharType="end"/>
        </w:r>
      </w:p>
    </w:sdtContent>
  </w:sdt>
  <w:p w:rsidR="00F3353B" w:rsidRDefault="00F335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377"/>
    <w:rsid w:val="00003F9D"/>
    <w:rsid w:val="0001199E"/>
    <w:rsid w:val="00095518"/>
    <w:rsid w:val="000B2113"/>
    <w:rsid w:val="00154E78"/>
    <w:rsid w:val="001E5C92"/>
    <w:rsid w:val="00327CA4"/>
    <w:rsid w:val="00342E73"/>
    <w:rsid w:val="0044562D"/>
    <w:rsid w:val="004833B8"/>
    <w:rsid w:val="004C5038"/>
    <w:rsid w:val="004F4991"/>
    <w:rsid w:val="006A5CBB"/>
    <w:rsid w:val="006D5795"/>
    <w:rsid w:val="0074741D"/>
    <w:rsid w:val="007655EA"/>
    <w:rsid w:val="007F43E0"/>
    <w:rsid w:val="00822942"/>
    <w:rsid w:val="008453D0"/>
    <w:rsid w:val="00877D8A"/>
    <w:rsid w:val="008F1B09"/>
    <w:rsid w:val="00944377"/>
    <w:rsid w:val="009F7389"/>
    <w:rsid w:val="00A81BCD"/>
    <w:rsid w:val="00AA768B"/>
    <w:rsid w:val="00AF69FD"/>
    <w:rsid w:val="00B35321"/>
    <w:rsid w:val="00B41709"/>
    <w:rsid w:val="00B569C5"/>
    <w:rsid w:val="00BB0B47"/>
    <w:rsid w:val="00BB787B"/>
    <w:rsid w:val="00BD70AF"/>
    <w:rsid w:val="00BE2FF8"/>
    <w:rsid w:val="00C26B53"/>
    <w:rsid w:val="00C27657"/>
    <w:rsid w:val="00C304B5"/>
    <w:rsid w:val="00C95C9D"/>
    <w:rsid w:val="00D253A4"/>
    <w:rsid w:val="00D579DD"/>
    <w:rsid w:val="00D639AA"/>
    <w:rsid w:val="00DB1057"/>
    <w:rsid w:val="00DF0DA1"/>
    <w:rsid w:val="00E11350"/>
    <w:rsid w:val="00E70826"/>
    <w:rsid w:val="00EA3895"/>
    <w:rsid w:val="00F25C43"/>
    <w:rsid w:val="00F3353B"/>
    <w:rsid w:val="00F663C8"/>
    <w:rsid w:val="00F7141A"/>
    <w:rsid w:val="00FA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B6A730-7439-4D08-8CD1-31798484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5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00Titulocapitulo">
    <w:name w:val="00Titulo capitulo"/>
    <w:basedOn w:val="Normal"/>
    <w:next w:val="Normal"/>
    <w:rsid w:val="004C5038"/>
    <w:pPr>
      <w:keepNext/>
      <w:tabs>
        <w:tab w:val="left" w:pos="426"/>
        <w:tab w:val="right" w:pos="9299"/>
      </w:tabs>
      <w:spacing w:before="240" w:after="240" w:line="360" w:lineRule="exact"/>
    </w:pPr>
    <w:rPr>
      <w:rFonts w:ascii="Arial" w:eastAsia="Times New Roman" w:hAnsi="Arial" w:cs="Times New Roman"/>
      <w:b/>
      <w:sz w:val="28"/>
      <w:lang w:eastAsia="pt-BR"/>
    </w:rPr>
  </w:style>
  <w:style w:type="paragraph" w:customStyle="1" w:styleId="Citaaoiniciodeca">
    <w:name w:val="Citaçao inicio de ca"/>
    <w:rsid w:val="004C5038"/>
    <w:pPr>
      <w:spacing w:before="240" w:after="0" w:line="240" w:lineRule="auto"/>
      <w:ind w:left="2835" w:firstLine="710"/>
      <w:jc w:val="both"/>
    </w:pPr>
    <w:rPr>
      <w:rFonts w:ascii="Arial" w:eastAsia="Times New Roman" w:hAnsi="Arial" w:cs="Times New Roman"/>
      <w:sz w:val="20"/>
      <w:szCs w:val="20"/>
      <w:lang w:val="fr-FR" w:eastAsia="pt-BR"/>
    </w:rPr>
  </w:style>
  <w:style w:type="paragraph" w:customStyle="1" w:styleId="xmsonormal">
    <w:name w:val="x_msonormal"/>
    <w:basedOn w:val="Normal"/>
    <w:rsid w:val="004C5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Header">
    <w:name w:val="header"/>
    <w:basedOn w:val="Normal"/>
    <w:link w:val="HeaderChar"/>
    <w:uiPriority w:val="99"/>
    <w:unhideWhenUsed/>
    <w:rsid w:val="00F335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3B"/>
  </w:style>
  <w:style w:type="paragraph" w:styleId="Footer">
    <w:name w:val="footer"/>
    <w:basedOn w:val="Normal"/>
    <w:link w:val="FooterChar"/>
    <w:uiPriority w:val="99"/>
    <w:unhideWhenUsed/>
    <w:rsid w:val="00F335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2039</Words>
  <Characters>11219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Junqueira</dc:creator>
  <cp:keywords/>
  <dc:description/>
  <cp:lastModifiedBy>Gabriela Montado</cp:lastModifiedBy>
  <cp:revision>2</cp:revision>
  <dcterms:created xsi:type="dcterms:W3CDTF">2017-09-07T12:27:00Z</dcterms:created>
  <dcterms:modified xsi:type="dcterms:W3CDTF">2017-09-07T12:27:00Z</dcterms:modified>
</cp:coreProperties>
</file>